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87" w:rsidRDefault="00717687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  <w:r w:rsidRPr="00EA2388">
        <w:rPr>
          <w:b/>
          <w:bCs/>
          <w:u w:val="single"/>
          <w:lang w:val="el-GR"/>
        </w:rPr>
        <w:t xml:space="preserve">Ο Ι Κ Ο Ν Ο Μ Ι Κ Η </w:t>
      </w:r>
      <w:r>
        <w:rPr>
          <w:b/>
          <w:bCs/>
          <w:u w:val="single"/>
          <w:lang w:val="el-GR"/>
        </w:rPr>
        <w:t xml:space="preserve"> </w:t>
      </w:r>
      <w:r w:rsidRPr="00EA2388">
        <w:rPr>
          <w:b/>
          <w:bCs/>
          <w:u w:val="single"/>
          <w:lang w:val="el-GR"/>
        </w:rPr>
        <w:t>Π Ρ Ο Σ Φ Ο Ρ Α</w:t>
      </w:r>
    </w:p>
    <w:p w:rsidR="007E586E" w:rsidRPr="00EA2388" w:rsidRDefault="007E586E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</w:p>
    <w:p w:rsidR="00717687" w:rsidRPr="00EA2388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>Προς τον Δήμο Βόλου</w:t>
      </w:r>
    </w:p>
    <w:p w:rsidR="00717687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 xml:space="preserve">Ημερομηνία:   </w:t>
      </w:r>
      <w:r>
        <w:rPr>
          <w:b/>
          <w:bCs/>
          <w:lang w:val="el-GR"/>
        </w:rPr>
        <w:t xml:space="preserve">  </w:t>
      </w:r>
      <w:r w:rsidRPr="00EA2388">
        <w:rPr>
          <w:b/>
          <w:bCs/>
          <w:lang w:val="el-GR"/>
        </w:rPr>
        <w:t xml:space="preserve">  </w:t>
      </w:r>
      <w:r>
        <w:rPr>
          <w:b/>
          <w:bCs/>
          <w:lang w:val="el-GR"/>
        </w:rPr>
        <w:t>-</w:t>
      </w:r>
      <w:r w:rsidRPr="00EA2388">
        <w:rPr>
          <w:b/>
          <w:bCs/>
          <w:lang w:val="el-GR"/>
        </w:rPr>
        <w:t xml:space="preserve">   </w:t>
      </w:r>
      <w:r>
        <w:rPr>
          <w:b/>
          <w:bCs/>
          <w:lang w:val="el-GR"/>
        </w:rPr>
        <w:t xml:space="preserve"> </w:t>
      </w:r>
      <w:r w:rsidRPr="00EA2388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- 2024</w:t>
      </w:r>
    </w:p>
    <w:p w:rsidR="007E586E" w:rsidRPr="00EA2388" w:rsidRDefault="007E586E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</w:p>
    <w:p w:rsidR="00717687" w:rsidRDefault="00717687" w:rsidP="00717687">
      <w:pPr>
        <w:suppressAutoHyphens w:val="0"/>
        <w:autoSpaceDE w:val="0"/>
        <w:spacing w:before="57" w:after="57"/>
        <w:rPr>
          <w:lang w:val="el-GR"/>
        </w:rPr>
      </w:pPr>
      <w:r w:rsidRPr="00EA2388">
        <w:rPr>
          <w:lang w:val="el-GR"/>
        </w:rPr>
        <w:t xml:space="preserve">Σας υποβάλουμε την οικονομική προσφορά μας για </w:t>
      </w:r>
      <w:r w:rsidRPr="00717687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«ΑΠΟΚΑΤΑΣΤΑΣΗ ΚΟΛΥΜΒΗΤΗΡΙΟΥ ΑΠΟ ΤΙΣ ΖΗΜΙΕΣ ΜΕΤΑ ΤΙΣ ΦΥΣΙΚΕΣ ΚΑΤΑΣΤΡΟΦΕΣ»</w:t>
      </w:r>
      <w:r w:rsidRPr="00EA2388">
        <w:rPr>
          <w:lang w:val="el-GR"/>
        </w:rPr>
        <w:t xml:space="preserve">, </w:t>
      </w:r>
      <w:r w:rsidRPr="00717687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Τμήμα 1: Υδραυλικές Εργασίες</w:t>
      </w:r>
      <w:r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.</w:t>
      </w:r>
    </w:p>
    <w:p w:rsidR="00717687" w:rsidRPr="00EA2388" w:rsidRDefault="00717687" w:rsidP="00717687">
      <w:pPr>
        <w:suppressAutoHyphens w:val="0"/>
        <w:autoSpaceDE w:val="0"/>
        <w:spacing w:before="57" w:after="57"/>
        <w:rPr>
          <w:lang w:val="el-GR"/>
        </w:rPr>
      </w:pPr>
    </w:p>
    <w:p w:rsidR="00717687" w:rsidRDefault="00EA23EF" w:rsidP="00717687">
      <w:pPr>
        <w:suppressAutoHyphens w:val="0"/>
        <w:autoSpaceDE w:val="0"/>
        <w:spacing w:before="57" w:after="57"/>
        <w:rPr>
          <w:lang w:val="el-GR"/>
        </w:rPr>
      </w:pPr>
      <w:r>
        <w:rPr>
          <w:lang w:val="el-GR"/>
        </w:rPr>
        <w:t>Του/της</w:t>
      </w:r>
      <w:r w:rsidR="00717687" w:rsidRPr="00EA2388">
        <w:rPr>
          <w:lang w:val="el-GR"/>
        </w:rPr>
        <w:t xml:space="preserve"> επιχείρησης ……………………….…………, Α.Φ.Μ./Δ.Ο.Υ. ………..……….………………., έδρα ……………....,</w:t>
      </w:r>
      <w:r>
        <w:rPr>
          <w:lang w:val="el-GR"/>
        </w:rPr>
        <w:t xml:space="preserve"> </w:t>
      </w:r>
      <w:r w:rsidR="00717687" w:rsidRPr="00EA2388">
        <w:rPr>
          <w:lang w:val="el-GR"/>
        </w:rPr>
        <w:t>οδός …………………., αριθμός ……, τηλέφωνο …………………., email: ……………………………..</w:t>
      </w:r>
    </w:p>
    <w:p w:rsidR="007E586E" w:rsidRDefault="007E586E" w:rsidP="00717687">
      <w:pPr>
        <w:suppressAutoHyphens w:val="0"/>
        <w:autoSpaceDE w:val="0"/>
        <w:spacing w:before="57" w:after="57"/>
        <w:rPr>
          <w:lang w:val="el-GR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440"/>
        <w:gridCol w:w="2908"/>
        <w:gridCol w:w="625"/>
        <w:gridCol w:w="1105"/>
        <w:gridCol w:w="1708"/>
        <w:gridCol w:w="1856"/>
      </w:tblGrid>
      <w:tr w:rsidR="00717687" w:rsidRPr="00EA23EF" w:rsidTr="007E586E">
        <w:trPr>
          <w:trHeight w:val="6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t> </w:t>
            </w:r>
          </w:p>
        </w:tc>
        <w:tc>
          <w:tcPr>
            <w:tcW w:w="2908" w:type="dxa"/>
            <w:noWrap/>
            <w:hideMark/>
          </w:tcPr>
          <w:p w:rsidR="00717687" w:rsidRPr="00717687" w:rsidRDefault="00717687" w:rsidP="00717687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>ΠΕΡΙΓΡΑΦΗ ΥΔΡΑΥΛΙΚΩΝ ΕΡΓΑΣΙΩΝ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>ΤΕΜ</w:t>
            </w:r>
          </w:p>
        </w:tc>
        <w:tc>
          <w:tcPr>
            <w:tcW w:w="1105" w:type="dxa"/>
            <w:hideMark/>
          </w:tcPr>
          <w:p w:rsidR="00717687" w:rsidRPr="00717687" w:rsidRDefault="00717687">
            <w:pPr>
              <w:rPr>
                <w:b/>
                <w:bCs/>
                <w:lang w:val="el-GR"/>
              </w:rPr>
            </w:pPr>
            <w:r w:rsidRPr="00717687">
              <w:rPr>
                <w:b/>
                <w:bCs/>
              </w:rPr>
              <w:t>ΚΟΣΤΟΣ ΤΕΜ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ΜΕΛΕΤΗΣ (€)</w:t>
            </w:r>
          </w:p>
        </w:tc>
        <w:tc>
          <w:tcPr>
            <w:tcW w:w="1708" w:type="dxa"/>
            <w:noWrap/>
            <w:hideMark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ΜΟΝΑΔΟΣ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σε ΕΥΡΩ </w:t>
            </w:r>
          </w:p>
          <w:p w:rsidR="00717687" w:rsidRPr="00EA23EF" w:rsidRDefault="00717687" w:rsidP="00717687">
            <w:pPr>
              <w:rPr>
                <w:b/>
                <w:bCs/>
                <w:lang w:val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  <w:tc>
          <w:tcPr>
            <w:tcW w:w="1856" w:type="dxa"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</w:p>
          <w:p w:rsidR="00717687" w:rsidRPr="00EA23EF" w:rsidRDefault="00717687" w:rsidP="00717687">
            <w:pPr>
              <w:rPr>
                <w:b/>
                <w:bCs/>
                <w:lang w:val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</w:tr>
      <w:tr w:rsidR="00717687" w:rsidRPr="00717687" w:rsidTr="007E586E">
        <w:trPr>
          <w:trHeight w:val="3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 Επισκευή  αντλιών </w:t>
            </w:r>
            <w:proofErr w:type="spellStart"/>
            <w:r w:rsidRPr="00717687">
              <w:rPr>
                <w:lang w:val="el-GR"/>
              </w:rPr>
              <w:t>ανακυκλοφορίας</w:t>
            </w:r>
            <w:proofErr w:type="spellEnd"/>
            <w:r w:rsidRPr="00717687">
              <w:rPr>
                <w:lang w:val="el-GR"/>
              </w:rPr>
              <w:t xml:space="preserve"> πισίνας 25μ  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2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570,00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3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2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αντικατάσταση   αντλίας </w:t>
            </w:r>
            <w:proofErr w:type="spellStart"/>
            <w:r w:rsidRPr="00717687">
              <w:rPr>
                <w:lang w:val="el-GR"/>
              </w:rPr>
              <w:t>ανακυκλοφορίας</w:t>
            </w:r>
            <w:proofErr w:type="spellEnd"/>
            <w:r w:rsidRPr="00717687">
              <w:rPr>
                <w:lang w:val="el-GR"/>
              </w:rPr>
              <w:t xml:space="preserve"> πισίνας 25μ  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2.710,00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3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3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r w:rsidRPr="00717687">
              <w:t>α</w:t>
            </w:r>
            <w:proofErr w:type="spellStart"/>
            <w:r w:rsidRPr="00717687">
              <w:t>ντικ</w:t>
            </w:r>
            <w:proofErr w:type="spellEnd"/>
            <w:r w:rsidRPr="00717687">
              <w:t>ατάσταση α</w:t>
            </w:r>
            <w:proofErr w:type="spellStart"/>
            <w:r w:rsidRPr="00717687">
              <w:t>ντε</w:t>
            </w:r>
            <w:proofErr w:type="spellEnd"/>
            <w:r w:rsidRPr="00717687">
              <w:t>πίστροφων α</w:t>
            </w:r>
            <w:proofErr w:type="spellStart"/>
            <w:r w:rsidRPr="00717687">
              <w:t>ντλιών</w:t>
            </w:r>
            <w:proofErr w:type="spellEnd"/>
            <w:r w:rsidRPr="00717687">
              <w:t xml:space="preserve"> 25άρας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3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160,00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99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4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>αντικατάσταση 2 αντλιών εμβαπτιζόμενων στο φρεάτιο αποχέτευσης λεβητοστασίου και αντικατάσταση σάπιων σωληνώσεων 4'' &amp; 2'' απαγωγής από το φρεάτιο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2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500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975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5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Τοποθέτηση </w:t>
            </w:r>
            <w:proofErr w:type="spellStart"/>
            <w:r w:rsidRPr="00717687">
              <w:rPr>
                <w:lang w:val="el-GR"/>
              </w:rPr>
              <w:t>αντεπίστροφων</w:t>
            </w:r>
            <w:proofErr w:type="spellEnd"/>
            <w:r w:rsidRPr="00717687">
              <w:rPr>
                <w:lang w:val="el-GR"/>
              </w:rPr>
              <w:t xml:space="preserve"> στο φρεάτιο αποχέτευσης </w:t>
            </w:r>
            <w:proofErr w:type="spellStart"/>
            <w:r w:rsidRPr="00717687">
              <w:rPr>
                <w:lang w:val="el-GR"/>
              </w:rPr>
              <w:t>ομβρίων</w:t>
            </w:r>
            <w:proofErr w:type="spellEnd"/>
            <w:r w:rsidRPr="00717687">
              <w:rPr>
                <w:lang w:val="el-GR"/>
              </w:rPr>
              <w:t xml:space="preserve"> για τον έλεγχο νερού απόρριψης από το άδειασμα των δεξαμενών κολύμβησης που απαιτήθηκε.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2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600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945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6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r w:rsidRPr="00717687">
              <w:rPr>
                <w:lang w:val="el-GR"/>
              </w:rPr>
              <w:t xml:space="preserve">Αντικατάσταση τμήματος μαύρης </w:t>
            </w:r>
            <w:proofErr w:type="spellStart"/>
            <w:r w:rsidRPr="00717687">
              <w:rPr>
                <w:lang w:val="el-GR"/>
              </w:rPr>
              <w:t>σιδηροσωλήνωσης</w:t>
            </w:r>
            <w:proofErr w:type="spellEnd"/>
            <w:r w:rsidRPr="00717687">
              <w:rPr>
                <w:lang w:val="el-GR"/>
              </w:rPr>
              <w:t xml:space="preserve"> μήκους 6μ προς τους </w:t>
            </w:r>
            <w:proofErr w:type="spellStart"/>
            <w:r w:rsidRPr="00717687">
              <w:rPr>
                <w:lang w:val="el-GR"/>
              </w:rPr>
              <w:t>εναλλάκτες</w:t>
            </w:r>
            <w:proofErr w:type="spellEnd"/>
            <w:r w:rsidRPr="00717687">
              <w:rPr>
                <w:lang w:val="el-GR"/>
              </w:rPr>
              <w:t xml:space="preserve"> και αντικατάσταση </w:t>
            </w:r>
            <w:proofErr w:type="spellStart"/>
            <w:r w:rsidRPr="00717687">
              <w:rPr>
                <w:lang w:val="el-GR"/>
              </w:rPr>
              <w:t>βάννας</w:t>
            </w:r>
            <w:proofErr w:type="spellEnd"/>
            <w:r w:rsidRPr="00717687">
              <w:rPr>
                <w:lang w:val="el-GR"/>
              </w:rPr>
              <w:t xml:space="preserve"> πεταλούδας 6’’. </w:t>
            </w:r>
            <w:proofErr w:type="spellStart"/>
            <w:r w:rsidRPr="00717687">
              <w:t>Προμήθει</w:t>
            </w:r>
            <w:proofErr w:type="spellEnd"/>
            <w:r w:rsidRPr="00717687">
              <w:t xml:space="preserve">α και </w:t>
            </w:r>
            <w:proofErr w:type="spellStart"/>
            <w:r w:rsidRPr="00717687">
              <w:t>το</w:t>
            </w:r>
            <w:proofErr w:type="spellEnd"/>
            <w:r w:rsidRPr="00717687">
              <w:t xml:space="preserve">ποθέτηση </w:t>
            </w:r>
            <w:proofErr w:type="spellStart"/>
            <w:r w:rsidRPr="00717687">
              <w:t>ειδικών</w:t>
            </w:r>
            <w:proofErr w:type="spellEnd"/>
            <w:r w:rsidRPr="00717687">
              <w:t xml:space="preserve"> </w:t>
            </w:r>
            <w:proofErr w:type="spellStart"/>
            <w:r w:rsidRPr="00717687">
              <w:t>τεμ</w:t>
            </w:r>
            <w:proofErr w:type="spellEnd"/>
            <w:r w:rsidRPr="00717687">
              <w:t>αχίων (</w:t>
            </w:r>
            <w:proofErr w:type="spellStart"/>
            <w:r w:rsidRPr="00717687">
              <w:t>ημικ</w:t>
            </w:r>
            <w:proofErr w:type="spellEnd"/>
            <w:r w:rsidRPr="00717687">
              <w:t xml:space="preserve">αμπύλες </w:t>
            </w:r>
            <w:proofErr w:type="spellStart"/>
            <w:r w:rsidRPr="00717687">
              <w:t>κλ</w:t>
            </w:r>
            <w:proofErr w:type="spellEnd"/>
            <w:r w:rsidRPr="00717687">
              <w:t xml:space="preserve">π) 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2150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156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lastRenderedPageBreak/>
              <w:t>7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Αντικατάσταση σάπιων </w:t>
            </w:r>
            <w:proofErr w:type="spellStart"/>
            <w:r w:rsidRPr="00717687">
              <w:rPr>
                <w:lang w:val="el-GR"/>
              </w:rPr>
              <w:t>σιδηροσωλήνων</w:t>
            </w:r>
            <w:proofErr w:type="spellEnd"/>
            <w:r w:rsidRPr="00717687">
              <w:rPr>
                <w:lang w:val="el-GR"/>
              </w:rPr>
              <w:t xml:space="preserve">  2’’ συνολικού μήκους 6μ και αντικατάσταση </w:t>
            </w:r>
            <w:proofErr w:type="spellStart"/>
            <w:r w:rsidRPr="00717687">
              <w:rPr>
                <w:lang w:val="el-GR"/>
              </w:rPr>
              <w:t>βαννών</w:t>
            </w:r>
            <w:proofErr w:type="spellEnd"/>
            <w:r w:rsidRPr="00717687">
              <w:rPr>
                <w:lang w:val="el-GR"/>
              </w:rPr>
              <w:t xml:space="preserve"> στο φρεάτιο εμβαπτισμένων αντλιών απομάκρυνσης </w:t>
            </w:r>
            <w:proofErr w:type="spellStart"/>
            <w:r w:rsidRPr="00717687">
              <w:rPr>
                <w:lang w:val="el-GR"/>
              </w:rPr>
              <w:t>ομβρίων</w:t>
            </w:r>
            <w:proofErr w:type="spellEnd"/>
            <w:r w:rsidRPr="00717687">
              <w:rPr>
                <w:lang w:val="el-GR"/>
              </w:rPr>
              <w:t xml:space="preserve"> και υδάτων αποχέτευσης λεβητοστασίου, καθώς και επισκευή τμήματος σωλήνας 5’’ που τροφοδοτεί με επιφανειακά όμβρια το φρεάτιο.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3500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102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8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Αντικατάσταση δικτύων </w:t>
            </w:r>
            <w:r w:rsidRPr="00717687">
              <w:t>pp</w:t>
            </w:r>
            <w:r w:rsidRPr="00717687">
              <w:rPr>
                <w:lang w:val="el-GR"/>
              </w:rPr>
              <w:t xml:space="preserve"> για ζεστό νερό χρήσης που έχουν καταστραφεί.(3/4’’  &amp; 1΄’) από τους συλλέκτες των </w:t>
            </w:r>
            <w:r w:rsidRPr="00717687">
              <w:t>boiler</w:t>
            </w:r>
            <w:r w:rsidRPr="00717687">
              <w:rPr>
                <w:lang w:val="el-GR"/>
              </w:rPr>
              <w:t xml:space="preserve"> προς αποδυτήρια και </w:t>
            </w:r>
            <w:proofErr w:type="spellStart"/>
            <w:r w:rsidRPr="00717687">
              <w:rPr>
                <w:lang w:val="el-GR"/>
              </w:rPr>
              <w:t>κιλυκείο</w:t>
            </w:r>
            <w:proofErr w:type="spellEnd"/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650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123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9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>Απόφραξη σωλήνωσης αποχέτευσης Φ125</w:t>
            </w:r>
            <w:r w:rsidRPr="00717687">
              <w:t>mm</w:t>
            </w:r>
            <w:r w:rsidRPr="00717687">
              <w:rPr>
                <w:lang w:val="el-GR"/>
              </w:rPr>
              <w:t xml:space="preserve">  στο δάπεδο του λεβητοστασίου έως το φρεάτιο συγκέντρωσης που θα περιλαμβάνει κάθε πιθανή εργασία σπασίματος μπετόν και αποκατάσταση καθώς και αποξήλωση σωλήνωσης και αντικατάσταση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930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765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10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επισκευή πόρτας λέβητα και αποκατάσταση </w:t>
            </w:r>
            <w:proofErr w:type="spellStart"/>
            <w:r w:rsidRPr="00717687">
              <w:rPr>
                <w:lang w:val="el-GR"/>
              </w:rPr>
              <w:t>πυράντοχου</w:t>
            </w:r>
            <w:proofErr w:type="spellEnd"/>
            <w:r w:rsidRPr="00717687">
              <w:rPr>
                <w:lang w:val="el-GR"/>
              </w:rPr>
              <w:t xml:space="preserve"> υλικού,  όπως αναλυτικά περιγράφεται στην τεχνική μελέτη 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9.960,00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48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11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>αντικατάσταση δοχείων διαστολής 600</w:t>
            </w:r>
            <w:r w:rsidRPr="00717687">
              <w:t>Lit</w:t>
            </w:r>
            <w:r w:rsidRPr="00717687">
              <w:rPr>
                <w:lang w:val="el-GR"/>
              </w:rPr>
              <w:t xml:space="preserve"> στο λεβητοστάσιο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3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910,00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42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12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>αντικατάσταση αυτόματων πλήρωσης και αποκατάσταση σωληνώσεων  παροχής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3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50,00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6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13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χημικός καθαρισμός των </w:t>
            </w:r>
            <w:proofErr w:type="spellStart"/>
            <w:r w:rsidRPr="00717687">
              <w:rPr>
                <w:lang w:val="el-GR"/>
              </w:rPr>
              <w:t>εναλλακτών</w:t>
            </w:r>
            <w:proofErr w:type="spellEnd"/>
            <w:r w:rsidRPr="00717687">
              <w:rPr>
                <w:lang w:val="el-GR"/>
              </w:rPr>
              <w:t xml:space="preserve"> δεξαμενών κολύμβησης με μηχανή αφαίρεσης αλάτων με καθαριστικό διάλυμα </w:t>
            </w:r>
            <w:proofErr w:type="spellStart"/>
            <w:r w:rsidRPr="00717687">
              <w:t>ecolab</w:t>
            </w:r>
            <w:proofErr w:type="spellEnd"/>
            <w:r w:rsidRPr="00717687">
              <w:rPr>
                <w:lang w:val="el-GR"/>
              </w:rPr>
              <w:t xml:space="preserve"> </w:t>
            </w:r>
            <w:r w:rsidRPr="00717687">
              <w:t>p</w:t>
            </w:r>
            <w:r w:rsidRPr="00717687">
              <w:rPr>
                <w:lang w:val="el-GR"/>
              </w:rPr>
              <w:t xml:space="preserve">3 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1.080,00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42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14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rPr>
                <w:lang w:val="el-GR"/>
              </w:rPr>
              <w:t xml:space="preserve">επισκευή </w:t>
            </w:r>
            <w:proofErr w:type="spellStart"/>
            <w:r w:rsidRPr="00717687">
              <w:t>difusion</w:t>
            </w:r>
            <w:proofErr w:type="spellEnd"/>
            <w:r w:rsidRPr="00717687">
              <w:rPr>
                <w:lang w:val="el-GR"/>
              </w:rPr>
              <w:t xml:space="preserve"> φίλτρων άμμου, αντικατάσταση </w:t>
            </w:r>
            <w:proofErr w:type="spellStart"/>
            <w:r w:rsidRPr="00717687">
              <w:rPr>
                <w:lang w:val="el-GR"/>
              </w:rPr>
              <w:t>μανόμετρων</w:t>
            </w:r>
            <w:proofErr w:type="spellEnd"/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5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98,00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495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lastRenderedPageBreak/>
              <w:t>15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r w:rsidRPr="00717687">
              <w:t>καθα</w:t>
            </w:r>
            <w:proofErr w:type="spellStart"/>
            <w:r w:rsidRPr="00717687">
              <w:t>ρισμός</w:t>
            </w:r>
            <w:proofErr w:type="spellEnd"/>
            <w:r w:rsidRPr="00717687">
              <w:t xml:space="preserve"> α</w:t>
            </w:r>
            <w:proofErr w:type="spellStart"/>
            <w:r w:rsidRPr="00717687">
              <w:t>ερ</w:t>
            </w:r>
            <w:proofErr w:type="spellEnd"/>
            <w:r w:rsidRPr="00717687">
              <w:t>αγωγών α</w:t>
            </w:r>
            <w:proofErr w:type="spellStart"/>
            <w:r w:rsidRPr="00717687">
              <w:t>γωγών</w:t>
            </w:r>
            <w:proofErr w:type="spellEnd"/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400,00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3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16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r w:rsidRPr="00717687">
              <w:t>α</w:t>
            </w:r>
            <w:proofErr w:type="spellStart"/>
            <w:r w:rsidRPr="00717687">
              <w:t>ντικ</w:t>
            </w:r>
            <w:proofErr w:type="spellEnd"/>
            <w:r w:rsidRPr="00717687">
              <w:t xml:space="preserve">ατάσταση  </w:t>
            </w:r>
            <w:proofErr w:type="spellStart"/>
            <w:r w:rsidRPr="00717687">
              <w:t>κυκλοφορητή</w:t>
            </w:r>
            <w:proofErr w:type="spellEnd"/>
            <w:r w:rsidRPr="00717687">
              <w:t xml:space="preserve"> </w:t>
            </w:r>
            <w:proofErr w:type="spellStart"/>
            <w:r w:rsidRPr="00717687">
              <w:t>ζνχ</w:t>
            </w:r>
            <w:proofErr w:type="spellEnd"/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2</w:t>
            </w:r>
          </w:p>
        </w:tc>
        <w:tc>
          <w:tcPr>
            <w:tcW w:w="1105" w:type="dxa"/>
            <w:noWrap/>
            <w:hideMark/>
          </w:tcPr>
          <w:p w:rsidR="00717687" w:rsidRPr="00717687" w:rsidRDefault="00717687" w:rsidP="00717687">
            <w:r w:rsidRPr="00717687">
              <w:t>750,00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17687" w:rsidRPr="00717687" w:rsidTr="007E586E">
        <w:trPr>
          <w:trHeight w:val="1095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r w:rsidRPr="00717687">
              <w:t>17</w:t>
            </w:r>
          </w:p>
        </w:tc>
        <w:tc>
          <w:tcPr>
            <w:tcW w:w="2908" w:type="dxa"/>
            <w:hideMark/>
          </w:tcPr>
          <w:p w:rsidR="00717687" w:rsidRPr="00717687" w:rsidRDefault="00717687" w:rsidP="00717687">
            <w:r w:rsidRPr="00717687">
              <w:rPr>
                <w:lang w:val="el-GR"/>
              </w:rPr>
              <w:t xml:space="preserve">Αντικατάσταση σάπιας </w:t>
            </w:r>
            <w:proofErr w:type="spellStart"/>
            <w:r w:rsidRPr="00717687">
              <w:rPr>
                <w:lang w:val="el-GR"/>
              </w:rPr>
              <w:t>σιδηροσωλήνας</w:t>
            </w:r>
            <w:proofErr w:type="spellEnd"/>
            <w:r w:rsidRPr="00717687">
              <w:rPr>
                <w:lang w:val="el-GR"/>
              </w:rPr>
              <w:t xml:space="preserve"> 4’’ συνολικού μήκους 54μ με αντίστοιχη </w:t>
            </w:r>
            <w:proofErr w:type="spellStart"/>
            <w:r w:rsidRPr="00717687">
              <w:rPr>
                <w:lang w:val="el-GR"/>
              </w:rPr>
              <w:t>γαλβανιζέ</w:t>
            </w:r>
            <w:proofErr w:type="spellEnd"/>
            <w:r w:rsidRPr="00717687">
              <w:rPr>
                <w:lang w:val="el-GR"/>
              </w:rPr>
              <w:t xml:space="preserve"> για την πλήρωση της πισίνας από την </w:t>
            </w:r>
            <w:proofErr w:type="spellStart"/>
            <w:r w:rsidRPr="00717687">
              <w:rPr>
                <w:lang w:val="el-GR"/>
              </w:rPr>
              <w:t>πομώνα</w:t>
            </w:r>
            <w:proofErr w:type="spellEnd"/>
            <w:r w:rsidRPr="00717687">
              <w:rPr>
                <w:lang w:val="el-GR"/>
              </w:rPr>
              <w:t xml:space="preserve">,  και </w:t>
            </w:r>
            <w:proofErr w:type="spellStart"/>
            <w:r w:rsidRPr="00717687">
              <w:rPr>
                <w:lang w:val="el-GR"/>
              </w:rPr>
              <w:t>ρακόρ</w:t>
            </w:r>
            <w:proofErr w:type="spellEnd"/>
            <w:r w:rsidRPr="00717687">
              <w:rPr>
                <w:lang w:val="el-GR"/>
              </w:rPr>
              <w:t xml:space="preserve"> (2).  </w:t>
            </w:r>
            <w:proofErr w:type="spellStart"/>
            <w:r w:rsidRPr="00717687">
              <w:t>Γωνίες</w:t>
            </w:r>
            <w:proofErr w:type="spellEnd"/>
            <w:r w:rsidRPr="00717687">
              <w:t xml:space="preserve"> (2)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 w:rsidP="00717687">
            <w:r w:rsidRPr="00717687">
              <w:t>1</w:t>
            </w:r>
          </w:p>
        </w:tc>
        <w:tc>
          <w:tcPr>
            <w:tcW w:w="1105" w:type="dxa"/>
            <w:noWrap/>
            <w:hideMark/>
          </w:tcPr>
          <w:p w:rsidR="00717687" w:rsidRPr="007E586E" w:rsidRDefault="00717687" w:rsidP="00717687">
            <w:pPr>
              <w:rPr>
                <w:lang w:val="el-GR"/>
              </w:rPr>
            </w:pPr>
            <w:r w:rsidRPr="00717687">
              <w:t>5000</w:t>
            </w:r>
            <w:r w:rsidR="007E586E">
              <w:rPr>
                <w:lang w:val="el-GR"/>
              </w:rPr>
              <w:t>,00</w:t>
            </w:r>
          </w:p>
        </w:tc>
        <w:tc>
          <w:tcPr>
            <w:tcW w:w="1708" w:type="dxa"/>
            <w:noWrap/>
          </w:tcPr>
          <w:p w:rsidR="00717687" w:rsidRPr="00717687" w:rsidRDefault="00717687" w:rsidP="00717687"/>
        </w:tc>
        <w:tc>
          <w:tcPr>
            <w:tcW w:w="1856" w:type="dxa"/>
          </w:tcPr>
          <w:p w:rsidR="00717687" w:rsidRPr="00717687" w:rsidRDefault="00717687" w:rsidP="00717687"/>
        </w:tc>
      </w:tr>
      <w:tr w:rsidR="007E586E" w:rsidRPr="00717687" w:rsidTr="007E586E">
        <w:trPr>
          <w:trHeight w:val="458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  <w:tr w:rsidR="007E586E" w:rsidRPr="00717687" w:rsidTr="007E586E">
        <w:trPr>
          <w:trHeight w:val="281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Φ.Π.Α. 24%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  <w:tr w:rsidR="007E586E" w:rsidRPr="00717687" w:rsidTr="007E586E">
        <w:trPr>
          <w:trHeight w:val="443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ΓΕΝΙΚΟ ΣΥΝΟΛΟ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</w:tbl>
    <w:p w:rsidR="00C25376" w:rsidRDefault="00EA23EF">
      <w:pPr>
        <w:rPr>
          <w:lang w:val="el-GR"/>
        </w:rPr>
      </w:pPr>
    </w:p>
    <w:p w:rsidR="00717687" w:rsidRDefault="00717687">
      <w:pPr>
        <w:rPr>
          <w:lang w:val="el-GR"/>
        </w:rPr>
      </w:pPr>
    </w:p>
    <w:p w:rsidR="00717687" w:rsidRDefault="00717687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  <w:r w:rsidRPr="000C4AB4">
        <w:rPr>
          <w:color w:val="000000"/>
          <w:szCs w:val="22"/>
          <w:lang w:val="el-GR" w:eastAsia="el-GR"/>
        </w:rPr>
        <w:t xml:space="preserve">Η συνολική τιμή </w:t>
      </w:r>
      <w:r>
        <w:rPr>
          <w:color w:val="000000"/>
          <w:szCs w:val="22"/>
          <w:lang w:val="el-GR" w:eastAsia="el-GR"/>
        </w:rPr>
        <w:t xml:space="preserve">της </w:t>
      </w:r>
      <w:r w:rsidRPr="000C4AB4">
        <w:rPr>
          <w:color w:val="000000"/>
          <w:szCs w:val="22"/>
          <w:lang w:val="el-GR" w:eastAsia="el-GR"/>
        </w:rPr>
        <w:t>προσφοράς μας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ανέρχεται στο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ποσό…………</w:t>
      </w:r>
      <w:r>
        <w:rPr>
          <w:color w:val="000000"/>
          <w:szCs w:val="22"/>
          <w:lang w:val="el-GR" w:eastAsia="el-GR"/>
        </w:rPr>
        <w:t>……</w:t>
      </w:r>
      <w:r w:rsidR="007E586E">
        <w:rPr>
          <w:color w:val="000000"/>
          <w:szCs w:val="22"/>
          <w:lang w:val="el-GR" w:eastAsia="el-GR"/>
        </w:rPr>
        <w:t>…………………….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ΕΥΡΩ</w:t>
      </w:r>
      <w:r w:rsidR="007E586E" w:rsidRP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συμπεριλαμβανομένου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του Φ.Π.Α. 24%</w:t>
      </w:r>
      <w:r w:rsidR="007E586E">
        <w:rPr>
          <w:color w:val="000000"/>
          <w:szCs w:val="22"/>
          <w:lang w:val="el-GR" w:eastAsia="el-GR"/>
        </w:rPr>
        <w:t xml:space="preserve"> (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να αναγραφεί ολογράφως το</w:t>
      </w:r>
      <w:r w:rsid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συνολικό ποσό με Φ.Π.Α. 24%, 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της προσφοράς όπως στον πίνακα</w:t>
      </w:r>
      <w:r w:rsidR="007E586E" w:rsidRPr="000C4AB4">
        <w:rPr>
          <w:color w:val="000000"/>
          <w:szCs w:val="22"/>
          <w:lang w:val="el-GR" w:eastAsia="el-GR"/>
        </w:rPr>
        <w:t>)</w:t>
      </w:r>
      <w:r w:rsidRPr="000C4AB4">
        <w:rPr>
          <w:color w:val="000000"/>
          <w:szCs w:val="22"/>
          <w:lang w:val="el-GR" w:eastAsia="el-GR"/>
        </w:rPr>
        <w:t>.</w:t>
      </w:r>
    </w:p>
    <w:p w:rsidR="007E586E" w:rsidRDefault="007E586E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7E586E" w:rsidRDefault="007E586E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EA23EF" w:rsidRDefault="00EA23EF" w:rsidP="00EA23EF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  <w:r>
        <w:rPr>
          <w:color w:val="000000"/>
          <w:szCs w:val="22"/>
          <w:lang w:val="el-GR" w:eastAsia="el-GR"/>
        </w:rPr>
        <w:t>Ο ΠΡΟΣΦΕΡΩΝ</w:t>
      </w:r>
    </w:p>
    <w:p w:rsidR="00EA23EF" w:rsidRDefault="00EA23EF" w:rsidP="00EA23EF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</w:p>
    <w:p w:rsidR="00EA23EF" w:rsidRDefault="00EA23EF" w:rsidP="00EA23EF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</w:p>
    <w:p w:rsidR="00EA23EF" w:rsidRPr="00717687" w:rsidRDefault="00EA23EF" w:rsidP="00EA23EF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0C4AB4">
        <w:rPr>
          <w:color w:val="000000"/>
          <w:szCs w:val="22"/>
          <w:lang w:val="el-GR" w:eastAsia="el-GR"/>
        </w:rPr>
        <w:t>(</w:t>
      </w:r>
      <w:r w:rsidRPr="000C4AB4">
        <w:rPr>
          <w:i/>
          <w:iCs/>
          <w:color w:val="000000"/>
          <w:szCs w:val="22"/>
          <w:lang w:val="el-GR" w:eastAsia="el-GR"/>
        </w:rPr>
        <w:t xml:space="preserve"> σφραγίδα, υπογραφή</w:t>
      </w:r>
      <w:r w:rsidRPr="000C4AB4">
        <w:rPr>
          <w:color w:val="000000"/>
          <w:szCs w:val="22"/>
          <w:lang w:val="el-GR" w:eastAsia="el-GR"/>
        </w:rPr>
        <w:t xml:space="preserve"> )</w:t>
      </w:r>
    </w:p>
    <w:p w:rsidR="00717687" w:rsidRPr="00717687" w:rsidRDefault="00717687">
      <w:pPr>
        <w:rPr>
          <w:lang w:val="el-GR"/>
        </w:rPr>
      </w:pPr>
      <w:bookmarkStart w:id="0" w:name="_GoBack"/>
      <w:bookmarkEnd w:id="0"/>
    </w:p>
    <w:sectPr w:rsidR="00717687" w:rsidRPr="0071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7"/>
    <w:rsid w:val="002254D9"/>
    <w:rsid w:val="00717687"/>
    <w:rsid w:val="007B32BB"/>
    <w:rsid w:val="007E586E"/>
    <w:rsid w:val="00BA43E9"/>
    <w:rsid w:val="00BD2C31"/>
    <w:rsid w:val="00E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F3B"/>
  <w15:chartTrackingRefBased/>
  <w15:docId w15:val="{697697C3-1019-44A1-B876-13B2827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8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43E9"/>
    <w:pPr>
      <w:suppressLineNumbers/>
      <w:spacing w:before="120"/>
    </w:pPr>
    <w:rPr>
      <w:rFonts w:cs="Mangal"/>
      <w:i/>
      <w:iCs/>
    </w:rPr>
  </w:style>
  <w:style w:type="paragraph" w:styleId="a4">
    <w:name w:val="No Spacing"/>
    <w:qFormat/>
    <w:rsid w:val="00BA43E9"/>
    <w:pPr>
      <w:suppressAutoHyphens/>
    </w:pPr>
    <w:rPr>
      <w:sz w:val="24"/>
      <w:szCs w:val="24"/>
      <w:lang w:eastAsia="zh-CN"/>
    </w:rPr>
  </w:style>
  <w:style w:type="table" w:styleId="a5">
    <w:name w:val="Table Grid"/>
    <w:basedOn w:val="a1"/>
    <w:uiPriority w:val="39"/>
    <w:rsid w:val="0071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ΔΝΣΗ Τ.Υ.</dc:creator>
  <cp:keywords/>
  <dc:description/>
  <cp:lastModifiedBy>ΔΝΣΗ Τ.Υ.</cp:lastModifiedBy>
  <cp:revision>2</cp:revision>
  <dcterms:created xsi:type="dcterms:W3CDTF">2024-06-26T11:05:00Z</dcterms:created>
  <dcterms:modified xsi:type="dcterms:W3CDTF">2024-06-26T11:26:00Z</dcterms:modified>
</cp:coreProperties>
</file>